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21 111 vom 15. Februar 2024</w:t>
      </w:r>
    </w:p>
    <w:p>
      <w:r>
        <w:t>VS Kantonsgericht, 2024-02-15, FR</w:t>
      </w:r>
    </w:p>
    <w:p>
      <w:r>
        <w:rPr>
          <w:b/>
        </w:rPr>
        <w:t xml:space="preserve">Quelle: </w:t>
      </w:r>
      <w:r>
        <w:t>https://mcp.opencaselaw.ch/entscheid/vs_gerichte_S2 21 111</w:t>
      </w:r>
    </w:p>
    <w:p>
      <w:r>
        <w:t>FR: VS_GERICHTE S2 21 111 du 15 février 2024</w:t>
      </w:r>
    </w:p>
    <w:p>
      <w:r>
        <w:t>IT: VS_GERICHTE S2 21 111 del 15 febbraio 2024</w:t>
      </w:r>
    </w:p>
    <w:p>
      <w:pPr>
        <w:pStyle w:val="Heading2"/>
      </w:pPr>
      <w:r>
        <w:t>Regeste</w:t>
      </w:r>
    </w:p>
    <w:p>
      <w:r>
        <w:t>S2 21 111 ARRET DU 15 FÉVRIER 2024 Tribunal cantonal du Valais Cour des assurances sociales Composition : Candido Prada, président ; Frédéric Fellay et Christophe Joris, juges ; Anaïs Mottiez, greffière en la cause X _________, recourant, représenté par Maître Michel De Palma, avocat, Sion contre CAISSE NATIONALE SUISSE D'ASSURANCE EN CAS D'ACCIDENTS (CNA), intimée, représentée par Maître Didier Elsig, avocat, Lausanne (art. 6 et 36 LAA ; diagnostic et causalité naturelle et adéquate d’un syndrome douloureux régional complexe)</w:t>
      </w:r>
    </w:p>
    <w:p>
      <w:pPr>
        <w:pStyle w:val="Heading2"/>
      </w:pPr>
      <w:r>
        <w:t>Erwägungen</w:t>
      </w:r>
    </w:p>
    <w:p>
      <w:r>
        <w:rPr>
          <w:b/>
        </w:rPr>
        <w:t>E. 1.1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18 octobre 2021, le présent recours à l'encontre de la décision sur opposition du 15 septembre précédent a été interjeté dans le délai légal de trente jours compte tenu du report du délai échéant le samedi 16 octobre 2021 au lundi 18 octobre suivant (art. 38 al. 3 et 60 LPGA), et devant l’autorité compétente à raison du lieu et de la matière (art. 56, 57 et 58 LPGA ; art. 81a al. 1 LPJA). Il répond par ailleurs aux autres conditions formelles de recevabilité (art. 61 let. b LPGA), de sorte qu’il convient d’entrer en matière.</w:t>
      </w:r>
    </w:p>
    <w:p>
      <w:r>
        <w:rPr>
          <w:b/>
        </w:rPr>
        <w:t>E. 2</w:t>
      </w:r>
    </w:p>
    <w:p>
      <w:r>
        <w:t>Au moins un symptôme dans trois (critères cliniques) ou quatre (critères recherche) des quatre catégories suivantes : a. Sensoriel: le patient décrit une douleur qui évoque une hyperpathie et/ou une allodynie. b. Vasomoteur: le patient décrit une asymétrie de température et/ou un changement de couleur et/ou une asymétrie de couleur. c. Sudomoteur/oedème: le patient décrit un oedème et/ou une asymétrie de sudation. d. Moteur/trophique: le patient décrit une raideur et/ou une dysfonction motrice (faiblesse, trémor, dystonie) et/ou un changement trophique (pilosité, ongles, peau).</w:t>
      </w:r>
    </w:p>
    <w:p>
      <w:r>
        <w:rPr>
          <w:b/>
        </w:rPr>
        <w:t>E. 2.1</w:t>
      </w:r>
    </w:p>
    <w:p>
      <w:r>
        <w:t>Le litige porte sur le droit du recourant à des prestations de l’assurance-accidents au-delà du 24 juin 2021. Sont plus particulièrement litigieuses les questions de l’existence d’un SDRC à la main et au poignet gauches de l’intéressé, et, cas échéant, de l’admission d’un lien de causalité entre cette atteinte et l’événement accidentel.</w:t>
      </w:r>
    </w:p>
    <w:p>
      <w:r>
        <w:rPr>
          <w:b/>
        </w:rPr>
        <w:t>E. 2.2</w:t>
      </w:r>
    </w:p>
    <w:p>
      <w:r>
        <w:t>Le droit à des prestations découlant d'un accident assuré suppose entre l'évènement dommageable de caractère accidentel et l'atteinte à la santé un lien de causalité naturelle et adéquate. 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 sine qua non de celle-ci. Savoir si l'évènement assuré et l'atteinte à</w:t>
      </w:r>
    </w:p>
    <w:p>
      <w:r>
        <w:t>- 9 -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domaine des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Dans le domaine de l'assurance-accidents obligatoire, en cas d'atteinte à la santé physique, la causalité adéquate se recoupe largement avec la causalité naturelle, de sorte qu'elle ne joue pratiquement pas de rôle (ATF 123 V 102 ; 122 V 417 ; 118 V 286 consid. 3a ; 117 V 359 consid. 5d/bb).</w:t>
      </w:r>
    </w:p>
    <w:p>
      <w:r>
        <w:rPr>
          <w:b/>
        </w:rPr>
        <w:t>E. 2.3</w:t>
      </w:r>
    </w:p>
    <w:p>
      <w:r>
        <w:t>Les termes syndrome douloureux régional complexe (SDRC), algodystrophie ou maladie de Sudeck décrivent en médecine un tableau clinique post-traumatique qui se développe après un traumatisme et évolue rapidement vers des douleurs violentes à caractère brûlant et invalidant, auxquelles s'ajoutent des limitations fonctionnelles motrices et sensitives superficielles ou profondes. Il s’agit d’une entité syndromique dont le diagnostic repose sur des critères précis, dits de Budapest, excluant toute atteinte expliquant mieux les symptômes (Drs LUTHI/BUCHARD/CARDENAS/FAVRE/ FÉDOU/FOLI/SAVOY/TURLAN/KONZELMANN, Syndrome douloureux régional complexe in : Revue Médicale Suisse, 2019, pp. 496-502). Dans un arrêt 8C_416/2019 du 15 juillet 2020, le Tribunal fédéral a précisé que l’International Association for the Study of Pain (IASP) avait réalisé un consensus diagnostique aussi complet que possible avec la validation, en 2010, desdits critères, à savoir : 1. Douleur qui persiste et apparaît disproportionnée avec l'événement initial.</w:t>
      </w:r>
    </w:p>
    <w:p>
      <w:r>
        <w:t>- 10 -</w:t>
      </w:r>
    </w:p>
    <w:p>
      <w:r>
        <w:rPr>
          <w:b/>
        </w:rPr>
        <w:t>E. 2.4</w:t>
      </w:r>
    </w:p>
    <w:p>
      <w:r>
        <w:t>S'agissant de l'admission d'un lien de causalité entre un accident et une algodystrophie, le Tribunal fédéral a considéré, dans un arrêt 8C_384/2009 du 5 janvier 2010 (cf. également arrêt du Tribunal fédéral 8C_416/2019 du 15 juillet 2020 consid. 5), que trois conditions cumulatives devaient être remplies: 1° la preuve d'une lésion physique après un accident (p. ex. un hématome ou une enflure) ou l'apparition d'une algodystrophie à la suite d'une opération nécessitée par l'accident ; 2° l'absence d'un autre facteur causal de nature non traumatique (p. ex. état après un infarctus du myocarde, après une apoplexie, etc.) ; 3° une courte période de latence entre l'accident et l'apparition de l'algodystrophie (au maximum six à huit semaines). Dans l'arrêt en question, le Tribunal fédéral a nié l'existence d'un rapport de causalité naturelle avec une probabilité prépondérante entre un accident et un SDRC, dès lors que le délai de latence entre l'accident et l'apparition du SDRC était supérieur à une année. Pour arriver à cette conclusion, le Tribunal fédéral s'est fondé sur un article médical (KIENER/KISSLING, Expertise et algodystrophie) paru en 1998 dans une brochure sur le SDRC (Algodystrophie, éditeurs BÄR/FELDER/KIENER) publiée par la Caisse nationale suisse d'assurance en cas d'accidents (CNA) et Novartis. Cette brochure a bénéficié d’un remaniement complet en 2013 afin de s’adapter aux nouvelles découvertes scientifiques et de tenir compte des nouvelles et importantes connaissances acquises sur la physiopathologie du SDRC (JÄNIG/SCHAUMANN/VOGT [éditeurs]). Dans un article paru dans ladite brochure, ses auteurs expliquent que la question de la causalité doit être résolue en étudiant en particulier l'évolution en fonction du temps et en prenant en compte les critères de Budapest ainsi que d'autres facteurs ayant marqué significativement le décours. Selon ces auteurs, ce n'est qu'une fois que l'expert a posé un diagnostic de SDRC qu'il faut, s'agissant de la causalité accidentelle, démontrer qu'une lésion corporelle de l'extrémité concernée s'est bien produite ; si tel est le cas, se pose alors la question de savoir si le SDRC est apparu durant la période de latence correspondante de six à huit semaines (SCHAUMANN/VOGT/BRUNNER, Expertise, in: SDRC Syndrome douloureux régional complexe, 2013, p. 130 s.). Cette période de latence de six à huit semaines ne constitue qu'une valeur empirique et ne fait</w:t>
      </w:r>
    </w:p>
    <w:p>
      <w:r>
        <w:t>- 12 - nullement l'objet d'un consensus médical. Au demeurant, elle a été proposée en 1998, soit avant que les critères diagnostiques du SDRC aient été établis. On ne saurait dès lors établir, sur le plan juridique, une règle absolue quant au délai dans lequel les symptômes du SDRC devraient se manifester (arrêt du Tribunal fédéral 8C_416/2019 précité consid. 5). La jurisprudence plus récente a ainsi précisé, s'agissant du temps de latence entre l'événement accidentel et l'apparition du SDRC, qu'il n'est pas nécessaire qu'un SDRC ait été diagnostiqué dans les six à huit semaines après l'accident pour admettre son caractère causal avec l'événement accidentel ; il est en revanche déterminant qu'on puisse conclure, en se fondant sur les constats médicaux effectués en temps réel, que la personne concernée a présenté, au moins partiellement, des symptômes typiques du SDRC durant la période de latence de six à huit semaines après l'accident (arrêt du Tribunal fédéral 8C_177/2016 du 22 juin 2016 ; voir aussi arrêts du Tribunal fédéral 8C_27/2019 du 20 août 2019 consid. 6.4.2, 8C_123/2018 du 18 septembre 2018 consid. 4.1.2 et 8C_673/2017 du 27 mars 2018 consid. 5 et les références citées).</w:t>
      </w:r>
    </w:p>
    <w:p>
      <w:r>
        <w:rPr>
          <w:b/>
        </w:rPr>
        <w:t>E. 2.5</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w:t>
      </w:r>
    </w:p>
    <w:p>
      <w:r>
        <w:t>- 13 - 130 III 321 consid. 3.2 et 125 V 351 consid. 3a ; SVR 2007 IV n° 31 p 111 [I 455/06] consid. 4.1). Si de tels doutes subsistent, il lui appartient de compléter l'instruction de la cause, pour autant que l'on puisse attendre un résultat probant des mesures d'instruction entrant raisonnablement en considération (arrêt du Tribunal fédéral 9C_106/2011 du 14 octobre 2011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144 II 427 consid. 3.1.3 ; 141 I 60 consid. 3.3. ; 130 II 425 consid. 2.1 et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En ce qui concerne en particulier les documents produits par le service médical de l'assureur, le Tribunal fédéral n'exclut pas que ce dernier ou le juge des assurances sociales statuent en grande partie, voire exclusivement sur la base de ceux-ci (ATF 122 V 157 consid. 1d). En revanche, lorsqu’un cas d'assurance est réglé sans avoir recours à une expertise dans une procédure au sens de l'article 44 LPGA, l'appréciation des preuves est soumise à des exigences sévères : s'il existe un doute même minime sur la fiabilité et la validité des constatations d'un médecin de l'assurance, il y a lieu de procéder à des investigations complémentaires (ATF 145 V 97 consid. 8.5 ; 142 V 58 consid. 5.1 ; 139 V 225 consid. 5.2 ; 135 V 465 consid. 4.4). En effet, si la jurisprudence a reconnu la valeur probante des rapports médicaux des médecins- conseils, elle a souligné qu'ils n'avaient pas la même force probante qu'une expertise judiciaire ou une expertise mise en œuvre par un assureur social dans une procédure selon l'article 44 LPGA (ATF 135 V 465 consid. 4.4 et les références citées). Le juge des assurances sociales doit examiner tous les moyens de preuve objectivement et indépendamment de leur origine décider si les pièces à disposition permettent de procéder à une appréciation fiable des prétentions litigieuses. En présence de rapports médicaux contradictoires, il ne peut notamment pas trancher le litige sans apprécier toutes les pièces médicales et exposer les motifs pour lesquels il se fonde sur un avis médical plutôt que sur un autre. En ce qui concerne la valeur probante d’un rapport</w:t>
      </w:r>
    </w:p>
    <w:p>
      <w:r>
        <w:t>- 14 - médical, il est déterminant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N’est donc en soi déterminante pour la valeur probante d’un moyen de preuve ni la provenance d’une prise de position reçue ou demandée par le biais d’un mandat ni sa désignation en tant que rapport ou expertise.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 du Tribunal fédéral des assurances U 492/00 du 31 juillet 2001, in RAMA 2001 n° U 438 p. 345). 3.</w:t>
      </w:r>
    </w:p>
    <w:p>
      <w:r>
        <w:rPr>
          <w:b/>
        </w:rPr>
        <w:t>E. 3</w:t>
      </w:r>
    </w:p>
    <w:p>
      <w:r>
        <w:t>Au moins un signe dans deux des catégories suivantes (critères cliniques et recherche) : a. Sensoriel: confirmation d'une hyperpathie et/ou allodynie. b. Vasomoteur: confirmation d'une asymétrie de température et/ou changement de couleur et/ou asymétrie de couleur. c. Sudomoteur/oedème: confirmation d'un oedème et/ou asymétrie de sudation. d. Moteur/trophique: confirmation d'une raideur et/ou dysfonction motrice (faiblesse, trémor, dystonie) et/ou changement trophique (pilosité, ongles, peau).</w:t>
      </w:r>
    </w:p>
    <w:p>
      <w:r>
        <w:rPr>
          <w:b/>
        </w:rPr>
        <w:t>E. 3.1</w:t>
      </w:r>
    </w:p>
    <w:p>
      <w:r>
        <w:t>En l’occurrence, le recourant soutient, sur la base des avis des Drs E _________, spécialiste FMH en chirurgie de la main et orthopédie, F _________, spécialiste FMH en neurologie, N_________, spécialiste en radiologie et médecine nucléaire, L_________, spécialiste FMH en chirurgie orthopédique et chirurgie de la main, P_________, spécialiste FMH en rhumatologie, et R_________, médecin-assistant, qu’il présente un syndrome douloureux régional complexe (SDRC) de la main et du poignet gauches, qui serait en lien de causalité naturelle et adéquate avec son accident du 15 juin 2020. L’intimée nie quant à elle tant l’existence de ce diagnostic que son lien de causalité avec l’événement accidentel, en se fondant sur les avis des Drs H_________ et I_________, spécialistes FMH en neurologie, respectivement en médecine interne générale et rhumatologie auprès de la J _________, G_________, médecin d’arrondissement et spécialiste en médecine interne générale et médecine intensive, et Q_________, spécialiste FMH en neurologie et médecin-conseil auprès du centre de compétence de médecine des assurances.</w:t>
      </w:r>
    </w:p>
    <w:p>
      <w:r>
        <w:t>- 15 -</w:t>
      </w:r>
    </w:p>
    <w:p>
      <w:r>
        <w:rPr>
          <w:b/>
        </w:rPr>
        <w:t>E. 3.2</w:t>
      </w:r>
    </w:p>
    <w:p>
      <w:r>
        <w:t>S’agissant de l’existence d’un SDRC, la jurisprudence rappelée ci-dessus (cf. supra consid. 2.3) est claire quant au fait qu’il s’agit d’une entité syndromique dont le diagnostic repose sur des critères précis, dits de Budapest, excluant toute atteinte expliquant mieux les symptômes.</w:t>
      </w:r>
    </w:p>
    <w:p>
      <w:r>
        <w:rPr>
          <w:b/>
        </w:rPr>
        <w:t>E. 3.2.1</w:t>
      </w:r>
    </w:p>
    <w:p>
      <w:r>
        <w:t>A la lecture du dossier, force est de constater que seuls la Dresse G_________ et les Drs P_________ et R_________ ont réellement procédé à l’analyse de ces critères. En effet, la Cour relève que tant la Dresse E _________ (cf rapport du 13 juillet 2021), que les Drs F _________ (cf. rapport du 12 juillet 2021), N_________ (cf. rapport du 1er juillet 2021) et L_________ (cf. rapport du 14 juillet 2021), se fondent uniquement sur la scintigraphie osseuse du 1er juillet 2021 pour retenir le diagnostic de SDRC, ce qui est insuffisant selon la jurisprudence topique (cf. supra consid. 2.3). Quant au Dr Q_________, il se contente, dans son rapport du 26 janvier 2021, de mettre en doute le diagnostic posé par le Dr P_________, sans toutefois développer son propos, et de nier un lien de causalité temporelle entre un éventuel SDRC et l’événement accidentel, sans analyser en détail les critères de Budapest.</w:t>
      </w:r>
    </w:p>
    <w:p>
      <w:r>
        <w:rPr>
          <w:b/>
        </w:rPr>
        <w:t>E. 3.2.2</w:t>
      </w:r>
    </w:p>
    <w:p>
      <w:r>
        <w:t>Concernant la Dresse G_________, il ressort de son rapport du 20 juillet 2021 qu’elle a repris l’ensemble des différents avis médicaux au dossier, avant de procéder à une appréciation détaillée de ces informations. Cela étant, sur la base du status clinique arrêté par le Dr L_________ le 22 juin 2021 (« La main gauche est très légèrement plus pâle et cyanosée qu’à droite, notamment la face palmaire des 4 premiers rayons. Pas de nette tuméfaction ni de moiteur. Plis cutanés préservés. »), cette spécialiste a retenu que les critères de Budapest n’étaient pas remplis. A cet égard, elle a précisé qu’en l’absence de prise de température systématique des deux mains, le critère d’asymétrie de température et/ou de changement de couleur ou asymétrie de couleur ne pouvait pas être retenu, une main gauche légèrement plus pâle ne pouvant pas être retenue comme un critère valable, que la composante sudo/moteur était exclue en l’absence de moiteur, que s’agissant de la partie sensorielle, le tableau clinique retenait une douleur évoquant une hyperpathie ou une allodynie alors que l’assuré présentait au contraire une hypoesthésie globale de tout son membre supérieur gauche et que l’élément moteur/trophique n’était pas non plus présent, la différence de force pouvant trouver une autre explication. La Dresse G_________ a ajouté que la scintigraphie osseuse ne permettait pas non plus de poser le diagnostic de SDRC selon la littérature topique. S’agissant enfin du quatrième critère (pas d'autre diagnostic qui explique de manière plus convaincante les symptômes et les signes cliniques), cette spécialiste a retenu qu’une explication alternative existait au vu du contexte socio-familial de l’intéressé. En</w:t>
      </w:r>
    </w:p>
    <w:p>
      <w:r>
        <w:t>- 16 - effet, l’évaluation interdisciplinaire du 1er juin 2021 des Drs H_________ et I_________, lesquels se sont notamment fondés sur le bilan psychiatrique effectué par leur confrère spécialiste en psychiatrie et psychothérapie, le Dr K_________, met en évidence que si aucun trouble psychiatrique n’a été reconnu, deux éléments pouvaient en revanche constituer un facteur de surcharge donnant une forte tonalité symbolique à l’impotence ressentie par l’intéressé, à savoir l’hémiparésie, sur AVC, de son père et la maladie chromosomique de sa fille cadette, compliquée d’une malformation cardiaque et d’une lésion cérébrale ayant entraîné une hémiparésie à droite. La Dresse G_________ a ainsi conclu qu’il n’était pas possible de retenir le diagnostic de SDRC.</w:t>
      </w:r>
    </w:p>
    <w:p>
      <w:r>
        <w:rPr>
          <w:b/>
        </w:rPr>
        <w:t>E. 3.2.3</w:t>
      </w:r>
    </w:p>
    <w:p>
      <w:r>
        <w:t>S’agissant du Dr P_________, il ressort de son rapport du 5 novembre 2021, confirmé dans un rapport du 22 février suivant rédigé avec le Dr R_________, qu’il a repris la majorité des avis médicaux figurant au dossier, avant de décrire les plaintes de l’assuré et de procéder à un examen clinique complet. Ce spécialiste a ensuite analysé de manière détaillée les critères de Budapest. A cet égard, il a relevé que le critère n°1, soit la douleur continue et disproportionnée par rapport à l’événement initial était manifestement rempli, chez un assuré avec une région atteinte plus importante que le traumatisme initial et une aggravation des troubles par l’exercice physique. S’agissant du critère n°2, soit les symptômes, il a indiqué que l’intéressé présentait 12 symptômes dans les quatre catégories (une allodynie à la pression appuyée, une allodynie lors des mouvements articulaires, une main plus froide, des changements de couleur, un œdème, une augmentation de la sudation, une diminution des mobilités articulaires, un tremblement, une attitude dystonique, une faiblesse, moins de poils et une hyperkératose), de sorte qu’il était rempli. Concernant les signes cliniques, le Dr P_________ en a trouvé 10 dans les trois catégories (une allodynie à la pression appuyée, une allodynie lors des mouvements articulaires, un œdème de 2,5 cm de plus, une augmentation de la sudation nette au niveau de la paume de la main mais aussi sur les doigts, une diminution des mobilités articulaires, un tremblement essentiellement du pouce et des premiers doigts, une attitude dystonique, une faiblesse, moins de poils et une hyperkératose tout à fait inhabituelle sur le dos de la main). Enfin, s’agissant du dernier critère, il a relevé que l’irritation persistante du nerf médian au tunnel carpien n’expliquait pas ce tableau clinique et que même si ce dernier était atypique, il n’en demeurait pas moins compatible avec un SDRC. Au demeurant, le Dr P_________ a ajouté que la scintigraphie osseuse était vraiment en faveur d’un SDRC, même si elle ne faisait pas partie du diagnostic positif. Il a ainsi conclu que l’intéressé présentait de manière très probable un SDRC.</w:t>
      </w:r>
    </w:p>
    <w:p>
      <w:r>
        <w:t>- 17 -</w:t>
      </w:r>
    </w:p>
    <w:p>
      <w:r>
        <w:rPr>
          <w:b/>
        </w:rPr>
        <w:t>E. 3.3</w:t>
      </w:r>
    </w:p>
    <w:p>
      <w:r>
        <w:t>2. Il n'est pas perçu de frais. 3. La Caisse nationale suisse d’assurance en cas d’accidents (CNA) versera à X _________ une indemnité de 2000 francs pour ses dépens. Sion, le 15 février 2024</w:t>
      </w:r>
    </w:p>
    <w:p>
      <w:r>
        <w:rPr>
          <w:b/>
        </w:rPr>
        <w:t>E. 4</w:t>
      </w:r>
    </w:p>
    <w:p>
      <w:r>
        <w:t>Il n'existe pas d'autre diagnostic qui explique de manière plus convaincante les symptômes et les signes cliniques. Les critères ci-dessus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(Drs DISERENS/VUADENS/GHIKAIN, Syndrome douloureux régional complexe: rôle du système nerveux central et implications pour la prise en charge, in Revue médicale suisse 2020, p. 886; LUTHI/KONZELMANN, Le syndrome douloureux régional complexe [algodystrophie] sous toutes ses formes, in Revue médicale suisse 2014, p. 271). En pratique, si les critères 1 à 3 sont remplis et que le critère 4 est respecté, on doit considérer que le patient souffre d'un SDRC ; toutefois la valeur prédictive positive n'est que de 76 %. Si les critères sont partiellement remplis, il faut poursuivre le diagnostic différentiel et réévaluer le patient.</w:t>
      </w:r>
    </w:p>
    <w:p>
      <w:r>
        <w:t>- 11 - Si les critères ne sont pas remplis, le patient a une probabilité quasi nulle d'avoir un SDRC (Drs LUTHI/BUCHARD/CARDENAS/FAVRE/ FÉDOU/FOLI/SAVOY/TURLAN/KONZELMANN, op. cit., p. 498). Le SDRC est quatre fois plus fréquent chez la femme, le plus souvent au membre supérieur, avec une prédominance entre 50 et 70 ans. L'introduction des critères de Budapest a réduit de 50 % les diagnostics de SDRC (Drs DISERENS/VUADENS/GHIKAIN, op. cit., p. 885 s.).</w:t>
      </w:r>
    </w:p>
    <w:p>
      <w:r>
        <w:rPr>
          <w:b/>
        </w:rPr>
        <w:t>E. 4.1</w:t>
      </w:r>
    </w:p>
    <w:p>
      <w:r>
        <w:t>Il n’est pas perçu de frais (art. 61 let. fbis LPGA), la loi spéciale, en l’occurrence la LAA, ne prévoyant pas le prélèvement de frais.</w:t>
      </w:r>
    </w:p>
    <w:p>
      <w:r>
        <w:rPr>
          <w:b/>
        </w:rPr>
        <w:t>E. 4.2</w:t>
      </w:r>
    </w:p>
    <w:p>
      <w:r>
        <w:t>La partie recourante est réputée avoir obtenu gain de cause (art. 61 let. g LPGA)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Selon les articles 61 lettre g LPGA et 91 alinéa 1 LPJA, le recourant qui obtient gain de cause a droit au remboursement de ses frais et dépens dans la mesure fixée par le tribunal ; leur montant est déterminé sans égard à la valeur litigieuse d’après l’importance et la complexité du litige. L’autorité cantonale chargée de fixer l’indemnité de dépens jouit d’un large pouvoir d’appréciation (ATF 111 V 49 consid. 4a ; 110 V 365 consid. 3c ; SVR 2001 AHV n° 4 p. 12 consid. 3b). Aux termes de l’article 27 alinéa 1 de la loi fixant le tarif des frais et dépens devant les autorités judiciaires ou administratives (LTar ; RS/VS 173.8), les honoraires sont fixés d’après la nature et l’importance de la cause, ses difficultés, l’ampleur du travail, le temps utilement consacré par le conseil juridique, et la situation financière des parties. D’une façon générale, le juge est en mesure de se rendre compte de la nature et de l'ampleur</w:t>
      </w:r>
    </w:p>
    <w:p>
      <w:r>
        <w:t>- 18 - des opérations que le procès a nécessitées (ATF 139 V 496 consid. 5.1). Il ne prend en compte que le temps utilisé par l’avocat qui s’inscrit raisonnablement dans le cadre de l’accomplissement de sa tâche (ATF 109 Ia 107 consid. 3b ; arrêt du Tribunal fédéral 5D_54/2014 du 1er juillet 2014 consid. 2.2 ; RVJ 2009 160 consid. 5a). La durée de l’activité utilement déployée par un avocat diligent est appréciée en procédant par estimation, en fonction du cours ordinaire des choses et de l’expérience de la vie (RVJ 1994 153 consid. 3c). Devant la Cour des assurances sociales du Tribunal cantonal, les honoraires sont fixés entre 550 fr. et 11 000 fr. (art. 40 al. 1 LTar) selon l’importance et la complexité du litige et non pas en fonction de la liste des opérations de l’avocat de choix, d’une association ou d’une protection juridique. La LTar consacre le principe de l'évaluation globale des dépens (art. 4 al. 1 et art. 27 al. 4 LTar), laissant dans ce cadre à l’autorité ou au juge un large pouvoir d'appréciation qui doit néanmoins être exercé dans les limites fixées par la loi. Dans le cas d’espèce, le mandataire du recourant a produit un recours de 20 pages, une réplique de 7 pages et une détermination supplémentaire de 4 pages, le tout accompagné d’une cinquantaine de copies. Au vu de l’activité utile déployée par le mandataire du recourant, notamment de la teneur des pièces de procédure déposées (soit les rapports du Dr P_________), de la complexité moyenne de l’affaire et de l’ampleur du dossier, la Cour fixe les honoraires du mandataire à un montant arrondi de 2000 francs, débours et TVA compris.</w:t>
      </w:r>
    </w:p>
    <w:p>
      <w:r>
        <w:t>Prononce</w:t>
      </w:r>
    </w:p>
    <w:p>
      <w:r>
        <w:t>1. Le recours est admis, la décision sur opposition du 15 septembre 2021 annulée et le dossier renvoyé à l’intimée pour complément d’instruction au sens du considérant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